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2018/25 vom 18. März 2019</w:t>
      </w:r>
    </w:p>
    <w:p>
      <w:r>
        <w:t>Sg Versicherungsgericht, 2019-03-18, DE</w:t>
      </w:r>
    </w:p>
    <w:p>
      <w:r>
        <w:rPr>
          <w:b/>
        </w:rPr>
        <w:t xml:space="preserve">Quelle: </w:t>
      </w:r>
      <w:r>
        <w:t>https://mcp.opencaselaw.ch/entscheid/sg_publikationen_AVI 2018_25</w:t>
      </w:r>
    </w:p>
    <w:p>
      <w:r>
        <w:t>FR: SG_VERSICHERUNGSGERICHT AVI 2018/25 du 18 mars 2019</w:t>
      </w:r>
    </w:p>
    <w:p>
      <w:r>
        <w:t>IT: SG_VERSICHERUNGSGERICHT AVI 2018/25 del 18 marzo 2019</w:t>
      </w:r>
    </w:p>
    <w:p>
      <w:pPr>
        <w:pStyle w:val="Heading2"/>
      </w:pPr>
      <w:r>
        <w:t>Regeste</w:t>
      </w:r>
    </w:p>
    <w:p>
      <w:r>
        <w:t>Art. 95 Abs. 1 AVIG. Art. 25 Abs. 1 und 2 ATSG. Art. 67 Abs. 1 VwVG. Rückforderungsanspruch der Verwaltung betreffend die zu Unrecht ausgerichtete Insolvenzentschädigung nach sozialversicherungsrechtlichen Gesichtspunkten grundsätzlich verwirkt. Indessen wurde die Leistungsausrichtung möglicherweise durch ein strafbares Verhalten des Beschwerdeführers beeinflusst, womit gegebenenfalls sowohl die Revisions- als auch die Verwirkungsfrist noch nicht abgelaufen wären. Rückweisung zur weiteren Abklärung eines strafbaren Verhaltens des Beschwerdeführers (Entscheid des Versicherungsgerichts des Kantons St. Gallen vom 18. März 2019, AVI 2018/25).</w:t>
      </w:r>
    </w:p>
    <w:p>
      <w:pPr>
        <w:pStyle w:val="Heading2"/>
      </w:pPr>
      <w:r>
        <w:t>Erwägungen</w:t>
      </w:r>
    </w:p>
    <w:p>
      <w:r>
        <w:rPr>
          <w:b/>
        </w:rPr>
        <w:t>E. 1</w:t>
      </w:r>
    </w:p>
    <w:p>
      <w:r>
        <w:t>1.1  Nach Art. 95 Abs. 1 des Bundesgesetzes über die obligatorische Arbeitslosenversicherung und die Insolvenzentschädigung (AVIG; SR 837.0) in Verbindung mit Art. 25 Abs. 1 des Bundesgesetzes über den Allgemeinen Teil des Sozialversicherungsrechts (ATSG; SR 830.1) sind unrechtmässig bezogene Leistungen zurückzuerstatten.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(Art. 25 Abs. 2 ATSG). 1.2  Eine Leistung in der Sozialversicherung ist nach ständiger bundesgerichtlicher Rechtsprechung nur zurückzuerstatten, wenn bei eingetretener Rechtskraft der Leistungsentrichtung in verfahrensrechtlicher Hinsicht entweder die für die (prozessuale) Revision oder die für die Wiedererwägung erforderlichen Voraussetzungen erfüllt sind. Diese Voraussetzungen sind in Art. 53 Abs. 1 und 2 ATSG umschrieben.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auf formell rechtskräftige Verfügungen oder Einspracheentscheide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(UELI KIESER, ATSG-Kommentar, 3. Auflage, Art. 53 N 46). Leistungsabrechnungen der Arbeitslosenversicherung, die - wie im vorliegenden Fall - nicht in die Form einer formellen Verfügung gekleidet werden, weisen materiell Verfügungscharakter auf (Urteil des Eidgenössischen Versicherungsgerichts [EVG; seit dem 1. Januar 2007: Sozialrechtliche Abteilungen des Bundesgerichts] vom 14. Juli 2003, C 7/02, E. 3.1; BGE 125 V 476 E. 1 und 122 V 368 E. 2 mit Hinweisen). Sind formell oder formlos zugesprochene Leistungen noch nicht rechtskräftig geworden, kann die Verwaltung innert 30 Tagen darauf zurückkommen, ohne dass - wie dies im Fall des Zurückkommens auf rechtskräftige Verfügungen der Fall ist - die Voraussetzungen für eine Wiedererwägung oder Revision erfüllt sein müssen. Die Frist von 30 Tagen läuft ab Erlass der zu berichtigenden Verfügung oder ab Leistungsausrichtung. Sie darf nicht mit der «angemessenen Frist» von 90 Tagen verwechselt werden, die den Versicherten eingeräumt wird, um eine formelle Verfügung zu verlangen (vgl. zum Ganzen Entscheid des Versicherungsgerichts des Kantons St. Gallen vom 16. Dezember 2010, AVI 2010/24, E. 2 mit Hinweisen; vgl. auch das Kreisschreiben über Rückforderung, Verrechnung, Erlass und Inkasso [KS-RVEI], Rz A3). 1.3  Zwar beinhaltet Art. 53 Abs. 1 ATSG keine Revisionsfristen. Indessen ist davon auszugehen, dass Art. 67 Abs. 1 des Bundesgesetzes über das Verwaltungsverfahren (VwVG; SR 172.021) auch hier gilt (KIESER; a.a.O., Art. 53 Rz 38, mit Hinweis auf Art. 55 Abs. 1 ATSG, der ebenfalls auf die VwVG-Bestimmungen verweist). Demnach ist das Revisionsbegehren innert 90 Tagen nach Entdeckung des Revisionsgrundes, spätestens aber innert 10 Jahren nach Eröffnung des Entscheides schriftlich einzureichen. Nach Ablauf von zehn Jahren seit Eröffnung der in Revision zu ziehenden Verfügung oder des in Revision zu ziehenden Entscheids ist ein Revisionsbegehren nur aus dem Grund von Art. 66 Abs. 1 VwVG möglich (Beeinflussung des Entscheids durch ein Verbrechen oder Vergehen). Besonderheiten können sich ergeben, wenn der Revisionstatbestand länger dauernde Abklärungen erforderlich macht. Nach der Rechtsprechung reicht es hier aus, dass der Versicherungsträger der versicherten Person den Revisionsgrund und die (voraussichtliche) Abänderung der Verfügung fristgerecht anzeigt und die erforderlichen Abklärungen innert nützlicher Frist nachholt (KIESER, a.a.O., Art. 53 Rz 39, mit Hinweis auf SVR 2005 ALV Nr. 8 und Urteil des ehemaligen Eidgenössischen Versicherungsgerichts vom 23. April 2004 [C 214/03] E. 3.1.2).</w:t>
      </w:r>
    </w:p>
    <w:p>
      <w:r>
        <w:rPr>
          <w:b/>
        </w:rPr>
        <w:t>E. 2</w:t>
      </w:r>
    </w:p>
    <w:p>
      <w:r>
        <w:t>2.1  Vorliegend sprach die Beschwerdegegnerin dem Beschwerdeführer mit formloser Abrechnung vom 30. Oktober 2013 Insolvenzentschädigung in Höhe von Fr. 8'468.80 (netto) zu (act. G 3.1/468). Nach dem in vorstehender Erwägung Gesagten war diese Abrechnung bereits am 27. Januar 2016, als die Beschwerdegegnerin dem Beschwerdeführer erstmals weitere Abklärungen angekündigt hatte, und erst recht zum Zeitpunkt der Rückforderungsverfügung vom 1. Dezember 2017, in formelle Rechtskraft erwachsen. Die Beschwerdegegnerin braucht für die Rückforderung somit einen Rückkommenstitel. Davon wurde die Sachbearbeitung der Beschwerdegegnerin auch von ihrem eigenen Rechtsdienst in Kenntnis gesetzt (act. G 3.1/456). 2.2  Die Beschwerdegegnerin begründete die Rückforderungsverfügung vom 1. Dezember 2017 damit, dass der Beschwerdeführer - entgegen ihrer ursprünglichen Annahme - in der B.___ GmbH eine arbeitgeberähnliche Stellung innegehabt habe (act. G 3.1/451 ff.). Auf Grund der Aktenlage, insbesondere jener im Strafverfahren um die Nichtablieferung von AHV-Beiträgen (Art. 87 Abs. 3 AHVG) sowohl gegen den Beschwerdeführer als auch gegen den im Handelsregister eingetragenen Geschäftsführer und einzigen Gesellschafter der B.___ GmbH, E.___, ist zweifellos von einer arbeitgeberähnlichen Stellung des Beschwerdeführers in der genannten Gesellschaft auszugehen, hatte er doch offensichtlich eine materielle Organstellung inne. In den Befragungen durch die Kantonspolizei und die Staatsanwaltschaft gab der Beschwerdeführer denn auch zu, der eigentliche Geschäftsführer der B.___ GmbH gewesen zu sein (act. G 3.1/147 und 160). Indem nunmehr davon auszugehen ist, dass materiell kein Anspruch auf Insolvenzentschädigung bestanden hat, erweist sich die ursprüngliche Leistungsausrichtung als anfänglich unrichtig. Es liegt mithin eine erhebliche neue Tatsache im Sinn von Art. 53 Abs. 1 ATSG - und damit ein Rückkommenstitel - vor. Unter alleiniger Berücksichtigung der sozialversicherungsrechtlichen Revisions- und Verjährungsfristen ist allerdings von einer verspäteten Geltendmachung der Rückforderung auszugehen. So erfuhr die Beschwerdegegnerin durch das Begehren des Kreisgerichts D.___ um Aktenzustellung vom 17. Juli 2015 erstmals davon, dass der Beschwerdeführer möglicherweise eine arbeitgeberähnliche Stellung in der B.___ GmbH gehabt haben und die Gewährung von Insolvenzentschädigung daher möglicherweise falsch gewesen sein könnte (act. G 3.1/461). Demnach hätte sie dem Beschwerdeführer bis 15. Oktober 2015 (90 Tage) zumindest die mögliche Revision der Verfügung anzeigen und danach die gebotenen Abklärungen zur arbeitgeberähnlichen Stellung und die anschliessende Rückforderungsverfügung innert nützlicher Frist tätigen bzw. erlassen müssen. Die erstmalige Anzeige an den Beschwerdeführer vom 27. Januar 2016 ist damit grundsätzlich verspätet erfolgt, so dass diesbezüglich eine prozessuale Revision nicht mehr möglich ist. Dies gilt selbst dann, wenn man der Beschwerdegegnerin zugestehen wollte, dass sie zuerst den Ausgang des Strafverfahrens gegen E.___ abwarten durfte (Urteil vom 22. September 2015) und dazu nicht andauernd beim Kreisgericht nachfragen musste, ob bereits ein Urteil gefällt worden sei, mithin, dass die Kenntnis einer möglichen arbeitgeberähnlichen Stellung erst im Januar 2016 gegeben und das Schreiben an den Beschwerdeführer vom 27. Januar 2016 somit rechtzeitig erfolgt war. Diesfalls wäre nämlich davon auszugehen, dass die gebotenen Abklärungen zur arbeitgeberähnlichen Stellung des Beschwerdeführers und die anschliessende Rückforderungsverfügung nicht innert nützlicher Frist getätigt bzw. erlassen wurden, nachdem die Beschwerdegegnerin nach Ablauf der mit Schreiben vom 1. März 2016 dem Beschwerdeführer gesetzten Frist zur Beibringung der verlangten Unterlagen (15. März 2016 [act. G 3.1/466]) während rund eineindrittel Jahren bis zum Schreiben vom 24. Juli 2017 an E.___ (act. G 3.1/450) in dieser Sache nichts mehr unternahm, erst am 17. August 2017 schliesslich ein Akteneinsichtsgesuch beim Untersuchungsamt F.___ stellte (act. G 3.1/7 f.), und selbst nach Vorliegen der Strafakten am 29. August 2017 bis zum Verfügungserlass vom 1. Dezember 2017 nochmals mehr als 90 Tage verstreichen liess. 2.3  Indessen ist zu beachten, dass dem Rückforderungstatbestand möglicherweise ein strafbares Verhalten des Beschwerdeführers zu Grunde liegt, was die Beschwerdegegnerin bislang noch nicht geprüft hat. In Frage kommen der Tatbestand der unrechtmässigen Erwirkung von Versicherungsleistungen durch unwahre oder unvollständige Angaben oder in anderer Weise (Art. 105 Abs. 1 AVIG), aber auch die Straftatbestände Betrug oder Urkundenfälschung (Art. 146 und 251 des Strafgesetzbuches [StGB; sGS 311]). So wurde etwa der Arbeitsvertrag mit der B.___ GmbH mit 1. Januar 2012 datiert unterzeichnet (act. G 3.1/498 f.), tatsächlich soll er jedoch "sicherlich nicht im Januar 2012, evtl. 2-3 Monate später" unterzeichnet worden sein. Zudem war dem Geschäftskonto der B.___ GmbH keine Lohnzahlung in arbeitsvertraglicher Höhe zu entnehmen (vgl. act. 3.1/86 ff., 111 f., 117 ff., 169 ff.). Möglicherweise wurden der Arbeitsvertrag oder die Lohnabrechnungen erst nachträglich zum Zweck der Leistungserwirkung erstellt. Diesbezüglich wurde jedoch - soweit ersichtlich - noch kein Strafverfahren eröffnet. Kraft ausdrücklicher gesetzlicher Regelung (Art. 55 Abs. 1 ATSG i.V.m. Art. 67 Abs. 2 VwVG) besteht bei Vergehen und Verbrechen eine Dispensation (nur) von der - hier ohnehin eingehaltenen - absoluten zehnjährigen Frist, während die relative 90-tägige Revisionsfrist auch hier einzuhalten ist. Die Frist ist eingehalten, wenn die Verwaltung im Nachgang zu einem auf sicheren Grundlagen fussenden Wissen über ein Verbrechen oder Vergehen erste Abklärungen hinsichtlich einer in Frage stehenden prozessualen Revision vornimmt (vgl. Entscheid des Versicherungsgerichts vom 15. November 2018 [IV 2016/72] E. 4.1 und 4.3; vgl. auch Urteil des Bundesgerichts vom 21. August 2017 [8C_718/2016] 2.2). Nachdem vorliegend das erforderliche gesicherte Wissen um ein strafrechtlich relevantes Verhalten bzw. um ein mögliches unrechtmässiges Erwirken von Versicherungsleistungen mangels Vorliegens einer strafrechtlichen Untersuchung oder gar Verurteilung des Beschwerdeführers oder zumindest eigener fundierter Abklärungen der Beschwerdegegnerin noch nicht vorliegt, begann die 90-tägige relative Revisionsfrist noch nicht zu laufen. Vielmehr wird die Beschwerdegegnerin das Vorliegen eines in Frage kommenden Straftatbestandes erst noch zu prüfen haben. Dabei muss das Vorliegen eines Vergehens oder Verbrechens grundsätzlich im Rahmen eines Strafverfahrens festgestellt sein; eine Verurteilung ist indessen nicht erforderlich, da nur ein tatbestandsmässiges und rechtswidriges, nicht auch ein schuldhaftes Verhalten verlangt wird. Ist ein Strafverfahren oder ein Strafurteil nicht möglich, kann der Nachweis eines Verbrechens oder Vergehens auch anders erbracht werden. In diesem Fall entscheidet die Revisionsinstanz frei über das Vorliegen eines Verbrechens oder Vergehens (Entscheid des Versicherungsgerichts vom 15. November 2018 [IV 2016/72] E. 3.1 mit Hinweis auf Urteil des Bundesgerichts vom 28. Februar 2018 [8C_377/2017] E. 8.3.3). Die Sache ist damit zur Prüfung der Einleitung eines Strafverfahrens bzw. - sollte dies nicht möglich sein - zur eigenen Feststellung eines Vergehens oder Verbrechens und allfälliger fristgerechten Eröffnung eines Revisionsverfahrens an die Beschwerdegegnerin zurückzuweisen. 2.4  Auch wenn man die Rückforderung als Ergebnis einer Wiedererwägung ansehen wollte und somit keine Revisionsfristen zu beachten wären, wäre - unter alleiniger Berücksichtigung von Art. 25 Abs. 2 ATSG - von einer verspäteten Geltendmachung des Rückforderungsanspruchs auszugehen. Um die Verfügung vom 1. Dezember 2017 als rechtzeitig ansehen zu können, hätte diesfalls die Beschwerdegegnerin frühestens am 1. Dezember 2016 über zumutbare Kenntnis des Wiedererwägungsgrundes einer arbeitgeberähnlichen Stellung verfügt haben dürfen. Davon ist jedoch nicht auszugehen. Wie oben bereits ausgeführt, erfolgte der erste Hinweis auf die Fehlerhaftigkeit der Leistungszusprache bereits am 17. Juli 2015 (Mail des Kreisgerichtspräsidenten [act. G 3.1/461]). Wie ebenfalls bereits ausgeführt, hätte die Beschwerdegegnerin nach unbenütztem Fristablauf vom 15. März 2016 relativ bald anderweitige Abklärungen - insbesondere ein Akteneinsichtsgesuch beim Untersuchungsamt F.___ - einleiten müssen. Hätte die Beschwerdegegnerin die gebotenen Abklärungen innert nützlicher Frist getätigt, hätte sie überwiegend wahrscheinlich bis spätestens Ende November 2016 über zumutbare Kenntnis des Wiedererwägungsgrundes verfügen können und wäre damit in der Lage gewesen, bis spätestens Ende November 2017 die Rückforderungsverfügung zu erlassen. 2.5  Die Verwirkung wäre indessen dann noch nicht eingetreten, wenn der Rückerstattungsanspruch aus einer strafbaren Handlung hergeleitet würde, für welche das Strafrecht eine längere Verjährungsfrist vorsieht (Art. 25 Abs. 2 Satz 2). Dies wäre bei den in vorstehender Erwägung 2.3 genannten Delikten der Fall. So beträgt die Verfolgungsverjährung beim unrechtmässigen Erwirken von Versicherungsleistungen (Art. 105 Abs. 1 AVIG) sieben Jahre, bei Betrug und Urkundenfälschung (Art. 146 und 251 StGB) 15 Jahre nach Ausführung der Tat (Art. 97 Abs. 1 lit. b und d i.V.m. Art. 98 StGB). Auch in Bezug auf den Rückkommenstitel einer Wiedererwägung wäre somit das Vorliegen eines Vergehens oder Verbrechens zu prüfen. Im Gegensatz zu den Revisionsvoraussetzungen braucht hier das Vorliegen eines Verbrechens oder Vergehens nicht grundsätzlich in einem Strafverfahren festgestellt zu werden. Indessen hat die Behörde, die sich auf eine längere strafrechtliche Verjährungsfrist beruft, auch hier Aktenmaterial zu produzieren, welches das strafrechtliche Verhalten hinreichend ausweist. Dabei gilt ein erhöhtes Beweismass gemäss Strafprozessrecht ("in dubio pro reo" [vgl. BGE 138 V 74]). Zudem ist hier - im Gegensatz zu den Revisionsvoraussetzungen - erforderlich, dass nebst dem objektiven Tatbestand auch die subjektiven Strafbarkeitsvoraussetzungen erfüllt sind (BGE 138 V 74 E. 6.1; Urteil des Bundesgerichts vom 21. August 2017 [8C_718/2016] E. 2.3).</w:t>
      </w:r>
    </w:p>
    <w:p>
      <w:r>
        <w:rPr>
          <w:b/>
        </w:rPr>
        <w:t>E. 3</w:t>
      </w:r>
    </w:p>
    <w:p>
      <w:r>
        <w:t>3.1  Nach dem Gesagten ist der angefochtene Einspracheentscheid vom 29. März 2018 in teilweiser Gutheissung der Beschwerde aufzuheben und die Streitsache zur Abklärung eines allenfalls strafrechtlich relevanten Verhaltens des Beschwerdeführers und allfälliger Neueröffnung eines Revisions- oder Wiedererwägungsverfahrens an die Beschwerdegegnerin zurückzuweisen. 3.2  Gerichtskosten sind keine zu erheben (Art. 61 lit. a ATSG). Entscheid im Zirkulationsverfahren gemäss Art. 39 VRP 1. In teilweiser Gutheissung der Beschwerde wird der angefochtene Einspracheentscheid vom 29. März 2018 aufgehoben und die Streitsache zur Abklärung eines allenfalls strafrechtlich relevanten Verhaltens des Beschwerdeführers und allfälligen Neueröffnung eines Revisions- oder Wiedererwägungsverfahrens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